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93E2" w14:textId="2064DA42" w:rsidR="008D6D72" w:rsidRPr="008D6D72" w:rsidRDefault="008D6D72" w:rsidP="008045DD">
      <w:pPr>
        <w:autoSpaceDE w:val="0"/>
        <w:autoSpaceDN w:val="0"/>
        <w:adjustRightInd w:val="0"/>
        <w:jc w:val="center"/>
        <w:rPr>
          <w:b/>
          <w:szCs w:val="12"/>
        </w:rPr>
      </w:pPr>
      <w:r w:rsidRPr="008D6D72">
        <w:rPr>
          <w:b/>
          <w:szCs w:val="12"/>
        </w:rPr>
        <w:t xml:space="preserve">Lista de </w:t>
      </w:r>
      <w:proofErr w:type="spellStart"/>
      <w:r w:rsidRPr="008D6D72">
        <w:rPr>
          <w:b/>
          <w:szCs w:val="12"/>
        </w:rPr>
        <w:t>tarifas</w:t>
      </w:r>
      <w:proofErr w:type="spellEnd"/>
      <w:r w:rsidRPr="008D6D72">
        <w:rPr>
          <w:b/>
          <w:szCs w:val="12"/>
        </w:rPr>
        <w:t xml:space="preserve"> variables</w:t>
      </w:r>
    </w:p>
    <w:p w14:paraId="355DE4A6" w14:textId="77777777" w:rsidR="00404768" w:rsidRPr="003F202F" w:rsidRDefault="008D6D72" w:rsidP="008045DD">
      <w:pPr>
        <w:autoSpaceDE w:val="0"/>
        <w:autoSpaceDN w:val="0"/>
        <w:adjustRightInd w:val="0"/>
        <w:jc w:val="center"/>
        <w:rPr>
          <w:rStyle w:val="Strong"/>
        </w:rPr>
      </w:pPr>
      <w:r w:rsidRPr="008D6D72">
        <w:rPr>
          <w:b/>
          <w:szCs w:val="12"/>
        </w:rPr>
        <w:t>Solo para uso de oficina de MLBHC</w:t>
      </w:r>
    </w:p>
    <w:p w14:paraId="6E1979D7" w14:textId="77777777" w:rsidR="008D6D72" w:rsidRDefault="008D6D72" w:rsidP="000841DC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62640D29" w14:textId="77777777" w:rsidR="008D6D72" w:rsidRDefault="008D6D72" w:rsidP="00B1370B">
      <w:pPr>
        <w:autoSpaceDE w:val="0"/>
        <w:autoSpaceDN w:val="0"/>
        <w:adjustRightInd w:val="0"/>
        <w:rPr>
          <w:sz w:val="12"/>
          <w:szCs w:val="12"/>
        </w:rPr>
      </w:pPr>
    </w:p>
    <w:tbl>
      <w:tblPr>
        <w:tblW w:w="891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EE7800" w14:paraId="674F42F0" w14:textId="77777777" w:rsidTr="000841DC">
        <w:trPr>
          <w:trHeight w:val="270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59D901" w14:textId="77777777" w:rsidR="00A94E67" w:rsidRDefault="00A94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INGRESOS ANUALES</w:t>
            </w:r>
          </w:p>
        </w:tc>
        <w:tc>
          <w:tcPr>
            <w:tcW w:w="630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E6BF8D" w14:textId="77777777" w:rsidR="00A94E67" w:rsidRDefault="00A94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TAMAÑO DEL HOGAR/FAMILIA</w:t>
            </w:r>
          </w:p>
        </w:tc>
      </w:tr>
      <w:tr w:rsidR="008045DD" w14:paraId="400E4DE8" w14:textId="77777777" w:rsidTr="008045DD">
        <w:trPr>
          <w:trHeight w:val="27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C7CC4C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57B05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D288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87FE2F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2F2DC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FB5FC4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95B87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D1C9E1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A75C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C47615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F2DEF7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6093AE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045DD" w14:paraId="6AF1438B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92F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7390C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574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0BE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4C9A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910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8926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4016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15833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A14597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F77A03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10A75D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2685E6B2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2481" w14:textId="77777777" w:rsidR="00A94E67" w:rsidRDefault="00A94E67" w:rsidP="004C6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A5031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2DC9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448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8D9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9E1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F0C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E7C6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88812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E8FF2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91EC4A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229A4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64F30D6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FE05" w14:textId="77777777" w:rsidR="00A94E67" w:rsidRDefault="003722FC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$21,151.00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11156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CC1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2D08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6419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E4E7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593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8BF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C9662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A214EE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09B471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5C45EA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04744DF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2751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22989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682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667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583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4160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ED9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D0E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B359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1379E9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389EF5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370980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095F61B9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D33D" w14:textId="77777777" w:rsidR="00A94E67" w:rsidRDefault="00F95A4D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$32,151.00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AD050" w14:textId="77777777" w:rsidR="00A94E67" w:rsidRDefault="004C6503" w:rsidP="00511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$37,650.00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37F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0E8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F3B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972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9D4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418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6C3F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597763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45C676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DB913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588115B8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AF27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046CF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2C4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22D2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A98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A42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95A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4917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2F47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9A2013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CD4961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84C4DD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75F92B63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FF7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$43,151.00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624B0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6BB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6950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DD5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D35A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CDA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CC61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CA8B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222C1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02F2A8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23F19E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3D6332DE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71DE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74A0F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F764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9E47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F9AA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A993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5CCC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34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EFAA4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4257D9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30D361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A2F3F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:rsidRPr="0098782E" w14:paraId="3BD2D439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4438" w14:textId="77777777" w:rsidR="00A94E67" w:rsidRPr="0098782E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$54,151.00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CDC75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$59,650.00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2C40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727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D3B7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F736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A36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05D2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3490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55F938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46CB75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F839EB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:rsidRPr="0098782E" w14:paraId="2E5A7169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5F1B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$59,651.00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164D3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$65,150.00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E092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2CCA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FCA6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6025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3E3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78F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B38A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A62F2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D2C1F2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672746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:rsidRPr="0098782E" w14:paraId="3AD17595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9FD6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$65,151.00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9B4A7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$70,650.00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315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2201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6CF0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EE4F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0C3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5B33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D819B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E1D521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BA00D7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F3E9A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045DD" w:rsidRPr="0098782E" w14:paraId="685E82A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497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$70,651.00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4C811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$76,150.00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B6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E5A7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07D8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AA94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EA0C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B8FC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1614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9ECB4B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E9F3E8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3EE831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045DD" w:rsidRPr="0098782E" w14:paraId="784F88D4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4ABC" w14:textId="77777777" w:rsidR="00A94E67" w:rsidRPr="0098782E" w:rsidRDefault="00413ED8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$76,151.00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DC585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$81,650.00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542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8DD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5E9C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3BCC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D2A1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5C4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CF2CF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B93D7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737221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E195A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8045DD" w:rsidRPr="0098782E" w14:paraId="7FC9964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2607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$81,651.00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C9B82" w14:textId="77777777" w:rsidR="00A94E67" w:rsidRPr="0098782E" w:rsidRDefault="00F95A4D" w:rsidP="0062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$87,150.00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036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341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4E3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B23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26C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1289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0F4FA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2E12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256AB0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7ADEF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045DD" w14:paraId="3F4E3A44" w14:textId="77777777" w:rsidTr="008045DD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2F99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$87,151.00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AD07A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Precio $999,999.99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64DF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7D80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841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95A8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362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6EF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237F1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CF11A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E6443C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D48DBC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371E1BCB" w14:textId="77777777" w:rsidR="00404768" w:rsidRDefault="00404768" w:rsidP="00B1370B">
      <w:pPr>
        <w:autoSpaceDE w:val="0"/>
        <w:autoSpaceDN w:val="0"/>
        <w:adjustRightInd w:val="0"/>
        <w:rPr>
          <w:sz w:val="12"/>
          <w:szCs w:val="12"/>
        </w:rPr>
      </w:pPr>
    </w:p>
    <w:p w14:paraId="191D1377" w14:textId="77777777" w:rsidR="008D6D72" w:rsidRDefault="00B1370B" w:rsidP="004919F6">
      <w:pPr>
        <w:pStyle w:val="style3"/>
        <w:spacing w:before="0" w:beforeAutospacing="0"/>
        <w:ind w:left="806" w:right="270"/>
        <w:jc w:val="both"/>
      </w:pPr>
      <w:r>
        <w:t>La escala móvil de tarifas de MLBHC se basa en información del Nivel Federal de Pobreza (FPL) anual de 2025. Para familias / hogares con más de 10 personas, agregue $ 5,500 por cada persona adicional.</w:t>
      </w:r>
    </w:p>
    <w:p w14:paraId="1747F4BD" w14:textId="77777777" w:rsidR="004A77CD" w:rsidRDefault="004A77CD" w:rsidP="00600DDF">
      <w:pPr>
        <w:pStyle w:val="style3"/>
        <w:spacing w:before="0" w:beforeAutospacing="0" w:after="0" w:afterAutospacing="0"/>
        <w:ind w:left="806" w:right="270"/>
        <w:jc w:val="both"/>
      </w:pPr>
      <w:r>
        <w:t xml:space="preserve">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Nivel III.5 de SU, la persona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un </w:t>
      </w:r>
      <w:proofErr w:type="spellStart"/>
      <w:r>
        <w:t>comprobante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para </w:t>
      </w:r>
      <w:proofErr w:type="spellStart"/>
      <w:r>
        <w:t>calificar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descuento</w:t>
      </w:r>
      <w:proofErr w:type="spellEnd"/>
      <w:r>
        <w:t xml:space="preserve"> </w:t>
      </w:r>
      <w:proofErr w:type="spellStart"/>
      <w:r>
        <w:t>porcentual</w:t>
      </w:r>
      <w:proofErr w:type="spellEnd"/>
      <w:r>
        <w:t xml:space="preserve"> de </w:t>
      </w:r>
      <w:proofErr w:type="spellStart"/>
      <w:r>
        <w:t>tarifa</w:t>
      </w:r>
      <w:proofErr w:type="spellEnd"/>
      <w:r>
        <w:t xml:space="preserve"> variable (</w:t>
      </w:r>
      <w:proofErr w:type="spellStart"/>
      <w:r>
        <w:t>utilizando</w:t>
      </w:r>
      <w:proofErr w:type="spellEnd"/>
      <w:r>
        <w:t xml:space="preserve"> la </w:t>
      </w:r>
      <w:proofErr w:type="spellStart"/>
      <w:r>
        <w:t>escala</w:t>
      </w:r>
      <w:proofErr w:type="spellEnd"/>
      <w:r>
        <w:t xml:space="preserve"> anterior) 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firmar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para </w:t>
      </w:r>
      <w:proofErr w:type="spellStart"/>
      <w:r>
        <w:t>calificar</w:t>
      </w:r>
      <w:proofErr w:type="spellEnd"/>
      <w:r>
        <w:t xml:space="preserve"> para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tarifas</w:t>
      </w:r>
      <w:proofErr w:type="spellEnd"/>
      <w:r>
        <w:t xml:space="preserve"> </w:t>
      </w:r>
      <w:proofErr w:type="spellStart"/>
      <w:r>
        <w:t>reducidas</w:t>
      </w:r>
      <w:proofErr w:type="spellEnd"/>
      <w:r>
        <w:t>.</w:t>
      </w:r>
    </w:p>
    <w:p w14:paraId="3E84B91F" w14:textId="77777777" w:rsidR="004A77CD" w:rsidRDefault="004A77CD" w:rsidP="00600DDF">
      <w:pPr>
        <w:pStyle w:val="style3"/>
        <w:spacing w:before="0" w:beforeAutospacing="0" w:after="0" w:afterAutospacing="0"/>
        <w:ind w:left="806" w:right="446"/>
        <w:jc w:val="both"/>
      </w:pPr>
    </w:p>
    <w:p w14:paraId="04BEB887" w14:textId="77777777" w:rsidR="004A77CD" w:rsidRDefault="004A77CD" w:rsidP="00600DDF">
      <w:pPr>
        <w:pStyle w:val="style3"/>
        <w:spacing w:before="0" w:beforeAutospacing="0"/>
        <w:ind w:left="806" w:right="270"/>
        <w:jc w:val="both"/>
      </w:pPr>
      <w:r>
        <w:t xml:space="preserve">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la persona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para </w:t>
      </w:r>
      <w:proofErr w:type="spellStart"/>
      <w:r>
        <w:t>calificar</w:t>
      </w:r>
      <w:proofErr w:type="spellEnd"/>
      <w:r>
        <w:t xml:space="preserve"> para </w:t>
      </w:r>
      <w:proofErr w:type="spellStart"/>
      <w:r>
        <w:t>tarifas</w:t>
      </w:r>
      <w:proofErr w:type="spellEnd"/>
      <w:r>
        <w:t xml:space="preserve"> </w:t>
      </w:r>
      <w:proofErr w:type="spellStart"/>
      <w:r>
        <w:t>reducidas</w:t>
      </w:r>
      <w:proofErr w:type="spellEnd"/>
      <w:r>
        <w:t xml:space="preserve">. </w:t>
      </w:r>
    </w:p>
    <w:p w14:paraId="5EADD89F" w14:textId="35B29AEB" w:rsidR="00B1370B" w:rsidRPr="008D6D72" w:rsidRDefault="00404768" w:rsidP="00A94E67">
      <w:pPr>
        <w:pStyle w:val="style3"/>
        <w:spacing w:before="0" w:beforeAutospacing="0"/>
        <w:ind w:left="810" w:right="450"/>
      </w:pPr>
      <w:proofErr w:type="spellStart"/>
      <w:r>
        <w:t>Nota</w:t>
      </w:r>
      <w:proofErr w:type="spellEnd"/>
      <w:r>
        <w:t xml:space="preserve">: Los </w:t>
      </w:r>
      <w:proofErr w:type="spellStart"/>
      <w:r>
        <w:t>números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representan el porcentaje de la tarifa que pagará la persona. </w:t>
      </w:r>
      <w:r w:rsidR="00F46D47">
        <w:br/>
      </w:r>
      <w:r w:rsidR="00823D6F">
        <w:t xml:space="preserve">0 = El individuo no paga nada (100% de descuento). </w:t>
      </w:r>
      <w:r w:rsidR="00F46D47">
        <w:br/>
      </w:r>
      <w:r w:rsidR="004F0DF0">
        <w:t xml:space="preserve">25 = El individuo paga el 25% de la tarifa (75% de descuento). </w:t>
      </w:r>
      <w:r w:rsidR="00F46D47">
        <w:br/>
      </w:r>
      <w:r w:rsidR="004148D0">
        <w:t>75 = La persona paga el 75% de la tarifa (25% de descuento).</w:t>
      </w:r>
      <w:r w:rsidR="00F46D47">
        <w:br/>
      </w:r>
      <w:r w:rsidR="00823D6F">
        <w:t>100 = El individuo paga la tarifa completa (0% de descuento).</w:t>
      </w:r>
    </w:p>
    <w:p w14:paraId="4E5C4046" w14:textId="77777777" w:rsidR="001F7896" w:rsidRDefault="001F7896" w:rsidP="000841DC">
      <w:pPr>
        <w:ind w:left="806" w:right="270"/>
        <w:jc w:val="both"/>
      </w:pPr>
      <w:r>
        <w:rPr>
          <w:u w:val="single"/>
        </w:rPr>
        <w:t>La prueba aceptable de ingresos</w:t>
      </w:r>
      <w:r>
        <w:t xml:space="preserve"> incluye documentación de cupones de alimentos, la declaración de impuestos del año más reciente o talones de cheques de pago del mes anterior</w:t>
      </w:r>
      <w:r>
        <w:rPr>
          <w:i/>
          <w:iCs/>
        </w:rPr>
        <w:t>.</w:t>
      </w:r>
      <w:r>
        <w:t xml:space="preserve"> A efectos de la elegibilidad de ingresos, </w:t>
      </w:r>
      <w:r>
        <w:rPr>
          <w:u w:val="single"/>
        </w:rPr>
        <w:t xml:space="preserve"> el número en el hogar</w:t>
      </w:r>
      <w:r w:rsidR="0098782E">
        <w:t xml:space="preserve"> se define como un grupo vinculado en una relación legal, por ejemplo, cónyuge, hijo dependiente, hijo adulto reclamado a efectos del impuesto sobre la renta.</w:t>
      </w:r>
    </w:p>
    <w:p w14:paraId="441AA894" w14:textId="3B6803C1" w:rsidR="00093C02" w:rsidRPr="008D6D72" w:rsidRDefault="00093C02" w:rsidP="00A94E67">
      <w:pPr>
        <w:autoSpaceDE w:val="0"/>
        <w:autoSpaceDN w:val="0"/>
        <w:adjustRightInd w:val="0"/>
        <w:ind w:left="810" w:right="450"/>
      </w:pPr>
    </w:p>
    <w:sectPr w:rsidR="00093C02" w:rsidRPr="008D6D72" w:rsidSect="00C9447C">
      <w:footerReference w:type="default" r:id="rId8"/>
      <w:pgSz w:w="12240" w:h="15840"/>
      <w:pgMar w:top="1440" w:right="1530" w:bottom="1440" w:left="720" w:header="720" w:footer="10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3D33" w14:textId="77777777" w:rsidR="00E62F6C" w:rsidRDefault="00E62F6C">
      <w:r>
        <w:separator/>
      </w:r>
    </w:p>
  </w:endnote>
  <w:endnote w:type="continuationSeparator" w:id="0">
    <w:p w14:paraId="3960F482" w14:textId="77777777" w:rsidR="00E62F6C" w:rsidRDefault="00E6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791F" w14:textId="56795045" w:rsidR="00791F68" w:rsidRPr="008D6D72" w:rsidRDefault="00D944BA" w:rsidP="00D944BA">
    <w:pPr>
      <w:pStyle w:val="Footer"/>
      <w:rPr>
        <w:sz w:val="20"/>
      </w:rPr>
    </w:pPr>
    <w:proofErr w:type="spellStart"/>
    <w:r>
      <w:rPr>
        <w:sz w:val="20"/>
      </w:rPr>
      <w:t>Revisado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</w:t>
    </w:r>
    <w:proofErr w:type="spellEnd"/>
    <w:r>
      <w:rPr>
        <w:sz w:val="20"/>
      </w:rPr>
      <w:t xml:space="preserve"> 10/1/25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897E" w14:textId="77777777" w:rsidR="00E62F6C" w:rsidRDefault="00E62F6C">
      <w:r>
        <w:separator/>
      </w:r>
    </w:p>
  </w:footnote>
  <w:footnote w:type="continuationSeparator" w:id="0">
    <w:p w14:paraId="444667E6" w14:textId="77777777" w:rsidR="00E62F6C" w:rsidRDefault="00E6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7A67"/>
    <w:multiLevelType w:val="hybridMultilevel"/>
    <w:tmpl w:val="0F904854"/>
    <w:lvl w:ilvl="0" w:tplc="DA9C15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02BB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37E2D"/>
    <w:multiLevelType w:val="hybridMultilevel"/>
    <w:tmpl w:val="BBC4E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022356">
    <w:abstractNumId w:val="0"/>
  </w:num>
  <w:num w:numId="2" w16cid:durableId="124841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0B"/>
    <w:rsid w:val="00004076"/>
    <w:rsid w:val="00044020"/>
    <w:rsid w:val="000518FA"/>
    <w:rsid w:val="000841DC"/>
    <w:rsid w:val="00093C02"/>
    <w:rsid w:val="000955E3"/>
    <w:rsid w:val="000A061B"/>
    <w:rsid w:val="000E02DB"/>
    <w:rsid w:val="00164D7C"/>
    <w:rsid w:val="00181E87"/>
    <w:rsid w:val="00187338"/>
    <w:rsid w:val="00197D4D"/>
    <w:rsid w:val="001A6D3D"/>
    <w:rsid w:val="001B3175"/>
    <w:rsid w:val="001C1F42"/>
    <w:rsid w:val="001D26F5"/>
    <w:rsid w:val="001E62F2"/>
    <w:rsid w:val="001F4C85"/>
    <w:rsid w:val="001F7896"/>
    <w:rsid w:val="00214DD8"/>
    <w:rsid w:val="00217A43"/>
    <w:rsid w:val="00232623"/>
    <w:rsid w:val="00265162"/>
    <w:rsid w:val="002E7414"/>
    <w:rsid w:val="003062D2"/>
    <w:rsid w:val="00330827"/>
    <w:rsid w:val="00333085"/>
    <w:rsid w:val="003410D6"/>
    <w:rsid w:val="003451ED"/>
    <w:rsid w:val="00357A8C"/>
    <w:rsid w:val="003722FC"/>
    <w:rsid w:val="00373A34"/>
    <w:rsid w:val="003F202F"/>
    <w:rsid w:val="00404768"/>
    <w:rsid w:val="00413ED8"/>
    <w:rsid w:val="004148D0"/>
    <w:rsid w:val="00414F6D"/>
    <w:rsid w:val="00417F17"/>
    <w:rsid w:val="0042560A"/>
    <w:rsid w:val="004641B9"/>
    <w:rsid w:val="004669BB"/>
    <w:rsid w:val="0047506E"/>
    <w:rsid w:val="004919F6"/>
    <w:rsid w:val="004A77CD"/>
    <w:rsid w:val="004B3AA5"/>
    <w:rsid w:val="004C516C"/>
    <w:rsid w:val="004C6503"/>
    <w:rsid w:val="004E1A0B"/>
    <w:rsid w:val="004F0DF0"/>
    <w:rsid w:val="004F764E"/>
    <w:rsid w:val="00501AF3"/>
    <w:rsid w:val="00511778"/>
    <w:rsid w:val="0056170A"/>
    <w:rsid w:val="00590A17"/>
    <w:rsid w:val="005F0543"/>
    <w:rsid w:val="00610915"/>
    <w:rsid w:val="00617AC0"/>
    <w:rsid w:val="00621D61"/>
    <w:rsid w:val="006250E2"/>
    <w:rsid w:val="006268AC"/>
    <w:rsid w:val="00647390"/>
    <w:rsid w:val="00652E00"/>
    <w:rsid w:val="00652FAD"/>
    <w:rsid w:val="00657071"/>
    <w:rsid w:val="00671A90"/>
    <w:rsid w:val="006B14BA"/>
    <w:rsid w:val="006B5CBC"/>
    <w:rsid w:val="006D61A5"/>
    <w:rsid w:val="00712790"/>
    <w:rsid w:val="00735522"/>
    <w:rsid w:val="007666DB"/>
    <w:rsid w:val="00786F5A"/>
    <w:rsid w:val="00791F68"/>
    <w:rsid w:val="008045DD"/>
    <w:rsid w:val="00806EF6"/>
    <w:rsid w:val="00813A7F"/>
    <w:rsid w:val="0081746F"/>
    <w:rsid w:val="00823D6F"/>
    <w:rsid w:val="008279E8"/>
    <w:rsid w:val="008945BD"/>
    <w:rsid w:val="00895FB6"/>
    <w:rsid w:val="008D1B56"/>
    <w:rsid w:val="008D6D72"/>
    <w:rsid w:val="008E576A"/>
    <w:rsid w:val="008E7002"/>
    <w:rsid w:val="008F4C62"/>
    <w:rsid w:val="008F7598"/>
    <w:rsid w:val="009265BD"/>
    <w:rsid w:val="00931EAA"/>
    <w:rsid w:val="00945EA7"/>
    <w:rsid w:val="0098782E"/>
    <w:rsid w:val="00996B49"/>
    <w:rsid w:val="009B5BE8"/>
    <w:rsid w:val="009D265B"/>
    <w:rsid w:val="009D6944"/>
    <w:rsid w:val="009E2D08"/>
    <w:rsid w:val="009F42E3"/>
    <w:rsid w:val="00A043AF"/>
    <w:rsid w:val="00A11CCE"/>
    <w:rsid w:val="00A553A0"/>
    <w:rsid w:val="00A65753"/>
    <w:rsid w:val="00A66814"/>
    <w:rsid w:val="00A74869"/>
    <w:rsid w:val="00A81FA3"/>
    <w:rsid w:val="00A920D5"/>
    <w:rsid w:val="00A94E67"/>
    <w:rsid w:val="00AF2CB7"/>
    <w:rsid w:val="00B03B44"/>
    <w:rsid w:val="00B1370B"/>
    <w:rsid w:val="00B17228"/>
    <w:rsid w:val="00B24C6B"/>
    <w:rsid w:val="00B27F95"/>
    <w:rsid w:val="00B57928"/>
    <w:rsid w:val="00B71A50"/>
    <w:rsid w:val="00BA109F"/>
    <w:rsid w:val="00BC0E86"/>
    <w:rsid w:val="00BD4A2E"/>
    <w:rsid w:val="00BF32CC"/>
    <w:rsid w:val="00C00161"/>
    <w:rsid w:val="00C459D5"/>
    <w:rsid w:val="00C47E8D"/>
    <w:rsid w:val="00C503CD"/>
    <w:rsid w:val="00C629F0"/>
    <w:rsid w:val="00C9447C"/>
    <w:rsid w:val="00CA4232"/>
    <w:rsid w:val="00CB39B9"/>
    <w:rsid w:val="00CC5893"/>
    <w:rsid w:val="00CD7632"/>
    <w:rsid w:val="00CF387C"/>
    <w:rsid w:val="00D0101B"/>
    <w:rsid w:val="00D124B2"/>
    <w:rsid w:val="00D12728"/>
    <w:rsid w:val="00D54401"/>
    <w:rsid w:val="00D6162A"/>
    <w:rsid w:val="00D757B5"/>
    <w:rsid w:val="00D876E6"/>
    <w:rsid w:val="00D913FD"/>
    <w:rsid w:val="00D944BA"/>
    <w:rsid w:val="00DA18C7"/>
    <w:rsid w:val="00DB0896"/>
    <w:rsid w:val="00DC05D0"/>
    <w:rsid w:val="00E04F45"/>
    <w:rsid w:val="00E20031"/>
    <w:rsid w:val="00E42508"/>
    <w:rsid w:val="00E62F6C"/>
    <w:rsid w:val="00E95C23"/>
    <w:rsid w:val="00EA06BE"/>
    <w:rsid w:val="00ED6D89"/>
    <w:rsid w:val="00ED6E23"/>
    <w:rsid w:val="00EE7800"/>
    <w:rsid w:val="00EF74F1"/>
    <w:rsid w:val="00F13253"/>
    <w:rsid w:val="00F13A66"/>
    <w:rsid w:val="00F26EA9"/>
    <w:rsid w:val="00F3152B"/>
    <w:rsid w:val="00F46D47"/>
    <w:rsid w:val="00F52D47"/>
    <w:rsid w:val="00F60AB1"/>
    <w:rsid w:val="00F668C2"/>
    <w:rsid w:val="00F95A4D"/>
    <w:rsid w:val="00FA6B44"/>
    <w:rsid w:val="00FC4462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5017F"/>
  <w15:chartTrackingRefBased/>
  <w15:docId w15:val="{3DD2CF5F-C9BF-44C0-9C9D-8E8D45E4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0B"/>
    <w:rPr>
      <w:sz w:val="24"/>
      <w:szCs w:val="24"/>
    </w:rPr>
  </w:style>
  <w:style w:type="paragraph" w:styleId="Heading3">
    <w:name w:val="heading 3"/>
    <w:basedOn w:val="Normal"/>
    <w:qFormat/>
    <w:rsid w:val="00B137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bolin">
    <w:name w:val="ebolin"/>
    <w:semiHidden/>
    <w:rsid w:val="00B1370B"/>
    <w:rPr>
      <w:rFonts w:ascii="Arial" w:hAnsi="Arial" w:cs="Arial"/>
      <w:color w:val="auto"/>
      <w:sz w:val="20"/>
      <w:szCs w:val="20"/>
    </w:rPr>
  </w:style>
  <w:style w:type="paragraph" w:customStyle="1" w:styleId="style3">
    <w:name w:val="style3"/>
    <w:basedOn w:val="Normal"/>
    <w:rsid w:val="00B1370B"/>
    <w:pPr>
      <w:spacing w:before="100" w:beforeAutospacing="1" w:after="100" w:afterAutospacing="1"/>
    </w:pPr>
  </w:style>
  <w:style w:type="table" w:styleId="TableGrid">
    <w:name w:val="Table Grid"/>
    <w:basedOn w:val="TableNormal"/>
    <w:rsid w:val="00B1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1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F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F3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33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74F1"/>
    <w:rPr>
      <w:sz w:val="24"/>
      <w:szCs w:val="24"/>
    </w:rPr>
  </w:style>
  <w:style w:type="character" w:styleId="Strong">
    <w:name w:val="Strong"/>
    <w:qFormat/>
    <w:rsid w:val="00357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657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45FD-9536-4F5B-9BAB-E4299BCB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 &amp; SED CRITERIA AND GUIDELINES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Y DIRECTRICES DE SMI Y SED</dc:title>
  <dc:subject/>
  <dc:creator>ebolin</dc:creator>
  <cp:keywords/>
  <dc:description/>
  <cp:lastModifiedBy>Dana Childs</cp:lastModifiedBy>
  <cp:revision>2</cp:revision>
  <cp:lastPrinted>2025-09-04T19:38:00Z</cp:lastPrinted>
  <dcterms:created xsi:type="dcterms:W3CDTF">2025-10-13T22:15:00Z</dcterms:created>
  <dcterms:modified xsi:type="dcterms:W3CDTF">2025-10-13T22:15:00Z</dcterms:modified>
</cp:coreProperties>
</file>